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F497D"/>
          <w:sz w:val="38"/>
        </w:rPr>
        <w:t>Zach Zukowski</w:t>
      </w:r>
    </w:p>
    <w:p>
      <w:pPr>
        <w:spacing w:after="0" w:before="0"/>
        <w:jc w:val="center"/>
      </w:pPr>
      <w:r>
        <w:rPr>
          <w:rFonts w:ascii="Calibri" w:hAnsi="Calibri"/>
          <w:color w:val="5A5A5A"/>
          <w:sz w:val="19"/>
        </w:rPr>
        <w:t>Orlando, FL  |  zach@cryptozach.com  |  321-236-2261</w:t>
      </w:r>
    </w:p>
    <w:p>
      <w:pPr>
        <w:spacing w:after="40" w:before="0"/>
        <w:jc w:val="center"/>
      </w:pPr>
      <w:hyperlink r:id="rId9">
        <w:r>
          <w:rPr>
            <w:color w:val="0563C1"/>
            <w:rFonts w:ascii="Calibri" w:hAnsi="Calibri"/>
            <w:sz w:val="18"/>
            <w:szCs w:val="18"/>
            <w:u w:val="none"/>
          </w:rPr>
          <w:t>LinkedIn</w:t>
        </w:r>
      </w:hyperlink>
      <w:r>
        <w:rPr>
          <w:color w:val="5A5A5A"/>
          <w:sz w:val="18"/>
        </w:rPr>
        <w:t xml:space="preserve">  |  </w:t>
      </w:r>
      <w:hyperlink r:id="rId10">
        <w:r>
          <w:rPr>
            <w:color w:val="0563C1"/>
            <w:rFonts w:ascii="Calibri" w:hAnsi="Calibri"/>
            <w:sz w:val="18"/>
            <w:szCs w:val="18"/>
            <w:u w:val="none"/>
          </w:rPr>
          <w:t>Research Portfolio</w:t>
        </w:r>
      </w:hyperlink>
      <w:r>
        <w:rPr>
          <w:color w:val="5A5A5A"/>
          <w:sz w:val="18"/>
        </w:rPr>
        <w:t xml:space="preserve">  |  </w:t>
      </w:r>
      <w:hyperlink r:id="rId11">
        <w:r>
          <w:rPr>
            <w:color w:val="0563C1"/>
            <w:rFonts w:ascii="Calibri" w:hAnsi="Calibri"/>
            <w:sz w:val="18"/>
            <w:szCs w:val="18"/>
            <w:u w:val="none"/>
          </w:rPr>
          <w:t>SSRN</w:t>
        </w:r>
      </w:hyperlink>
    </w:p>
    <w:p>
      <w:pPr>
        <w:spacing w:before="0" w:after="140"/>
        <w:jc w:val="center"/>
        <w:pBdr>
          <w:bottom w:val="single" w:sz="8" w:space="2" w:color="A7B6C7"/>
        </w:pBdr>
      </w:pPr>
      <w:r>
        <w:rPr>
          <w:rFonts w:ascii="Calibri" w:hAnsi="Calibri"/>
          <w:b/>
          <w:color w:val="1F497D"/>
          <w:sz w:val="22"/>
        </w:rPr>
        <w:t>STABLECOIN &amp; TOKENIZED FUNDS STRATEGY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SUMMARY</w:t>
      </w:r>
    </w:p>
    <w:p>
      <w:pPr>
        <w:spacing w:before="0" w:after="80" w:line="259" w:lineRule="auto"/>
      </w:pPr>
      <w:r>
        <w:rPr>
          <w:rFonts w:ascii="Calibri" w:hAnsi="Calibri"/>
          <w:color w:val="222222"/>
          <w:sz w:val="20"/>
        </w:rPr>
        <w:t>Stablecoin and tokenization strategist with experience advising 100+ tokenization engagements across stablecoin issuers, tokenized RWAs, and lending platforms. Built Borderless Capital's research function from scratch and supported underwriting across ~250 investments and ~$500M AUM. Deep expertise in reserve design, redemption pathways, custody, settlement finality, concentration risk, and launch-readiness standards.</w:t>
      </w:r>
    </w:p>
    <w:p>
      <w:pPr>
        <w:spacing w:before="0" w:after="40" w:line="252" w:lineRule="auto"/>
      </w:pPr>
      <w:r>
        <w:rPr>
          <w:rFonts w:ascii="Calibri" w:hAnsi="Calibri"/>
          <w:b/>
          <w:color w:val="222222"/>
          <w:sz w:val="19"/>
        </w:rPr>
        <w:t xml:space="preserve">Core Areas: </w:t>
      </w:r>
      <w:r>
        <w:rPr>
          <w:rFonts w:ascii="Calibri" w:hAnsi="Calibri"/>
          <w:color w:val="222222"/>
          <w:sz w:val="19"/>
        </w:rPr>
        <w:t>Stablecoins | Tokenized Funds | Liquidity Services | Reserve Transparency | Custody &amp; Settlement | Product Strategy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EXPERIENCE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Senior Investment Analyst, Digital Assets Research &amp; Strategy</w:t>
      </w:r>
      <w:r>
        <w:rPr>
          <w:rFonts w:ascii="Calibri" w:hAnsi="Calibri"/>
          <w:color w:val="222222"/>
          <w:sz w:val="20"/>
        </w:rPr>
        <w:t xml:space="preserve">  |  Borderless Capital (RIA)</w:t>
      </w:r>
      <w:r>
        <w:tab/>
      </w:r>
      <w:r>
        <w:rPr>
          <w:rFonts w:ascii="Calibri" w:hAnsi="Calibri"/>
          <w:i/>
          <w:color w:val="5A5A5A"/>
          <w:sz w:val="20"/>
        </w:rPr>
        <w:t>Dec 2019 - Present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the firm's research function from scratch and led a 4-analyst team producing ~25 long-form publications annually, weekly market updates, and committee materials across stablecoins, tokenization, DeFi, governance, and market structure.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Supported underwriting across ~250 investments (~$500M AUM, ~10 funds) and advised on 100+ tokenization engagements across stablecoin issuers, tokenized RWAs, and lending platforms.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Led diligence on stablecoin and tokenization settlement infrastructure: reserve custody and composition, redemption pathways and SLAs, settlement finality, concentration and portability risk, and stress behavior across issuers, custodians, and settlement banks.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automated monitoring for tokenization products from SEC filings and press releases; analyzed ~75 tokenization offerings in 2025 and invested in 18. Built AI-assisted diligence workflows reducing subscription-document review time from ~4 hours to ~1 hour per deal.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Advised teams on incentive design, launch-readiness standards, and regulatory surface mapping, and delivered client and investor briefings on stablecoins, tokenization, DeFi, and governance.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Analyst Intern</w:t>
      </w:r>
      <w:r>
        <w:rPr>
          <w:rFonts w:ascii="Calibri" w:hAnsi="Calibri"/>
          <w:color w:val="222222"/>
          <w:sz w:val="20"/>
        </w:rPr>
        <w:t xml:space="preserve">  |  Greenway Solutions (USAA)</w:t>
      </w:r>
      <w:r>
        <w:tab/>
      </w:r>
      <w:r>
        <w:rPr>
          <w:rFonts w:ascii="Calibri" w:hAnsi="Calibri"/>
          <w:i/>
          <w:color w:val="5A5A5A"/>
          <w:sz w:val="20"/>
        </w:rPr>
        <w:t>May 2016 - Sep 2016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Benchmarked USAA fraud controls across online, mobile, and call-center channels versus 9 peer U.S. banks; built PII-safe datasets and delivered recommendations on funds-availability, wire-transfer, onboarding, and identity-verification controls.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SELECTED RESEARCH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Routing the Dollar. </w:t>
      </w:r>
      <w:r>
        <w:rPr>
          <w:rFonts w:ascii="Calibri" w:hAnsi="Calibri"/>
          <w:color w:val="222222"/>
          <w:sz w:val="19"/>
        </w:rPr>
        <w:t>Research on stablecoin gateway concentration, reserve architecture, settlement flows, and the role of digital dollars in global finance.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Minimum Viable Equivalence Packs. </w:t>
      </w:r>
      <w:r>
        <w:rPr>
          <w:rFonts w:ascii="Calibri" w:hAnsi="Calibri"/>
          <w:color w:val="222222"/>
          <w:sz w:val="19"/>
        </w:rPr>
        <w:t>SSRN paper proposing an institutional diligence framework for tokenized products, from rights parity and custody segregation to finality and ongoing monitoring.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Dollar v3 / The Control Layer War. </w:t>
      </w:r>
      <w:r>
        <w:rPr>
          <w:rFonts w:ascii="Calibri" w:hAnsi="Calibri"/>
          <w:color w:val="222222"/>
          <w:sz w:val="19"/>
        </w:rPr>
        <w:t>Practitioner papers on payment stablecoins, tokenized deposits, tokenized cash products, and how policy choices concentrate value and liability at the control layer.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Tokenized Equity. </w:t>
      </w:r>
      <w:r>
        <w:rPr>
          <w:rFonts w:ascii="Calibri" w:hAnsi="Calibri"/>
          <w:color w:val="222222"/>
          <w:sz w:val="19"/>
        </w:rPr>
        <w:t>Framework for evaluating tokenized equity through rights parity, custody segregation, settlement dependencies, and market-structure constraints.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TECHNICAL SKILLS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Languages: </w:t>
      </w:r>
      <w:r>
        <w:rPr>
          <w:rFonts w:ascii="Calibri" w:hAnsi="Calibri"/>
          <w:color w:val="222222"/>
          <w:sz w:val="19"/>
        </w:rPr>
        <w:t>Python (pandas, statsmodels, scipy, matplotlib), SQL (DuneSQL, Trino), JavaScript/TypeScript, Excel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Data &amp; Analytics: </w:t>
      </w:r>
      <w:r>
        <w:rPr>
          <w:rFonts w:ascii="Calibri" w:hAnsi="Calibri"/>
          <w:color w:val="222222"/>
          <w:sz w:val="19"/>
        </w:rPr>
        <w:t>Dune Analytics, Nansen Pro, Artemis, DefiLlama, CoinGecko, Helius,</w:t>
        <w:br/>
        <w:t>Spacescope, SEC filing and press-release monitoring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Methods: </w:t>
      </w:r>
      <w:r>
        <w:rPr>
          <w:rFonts w:ascii="Calibri" w:hAnsi="Calibri"/>
          <w:color w:val="222222"/>
          <w:sz w:val="19"/>
        </w:rPr>
        <w:t>Scenario analysis, concentration analysis, Monte Carlo simulation, dashboard automation, diligence workflow design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Coverage: </w:t>
      </w:r>
      <w:r>
        <w:rPr>
          <w:rFonts w:ascii="Calibri" w:hAnsi="Calibri"/>
          <w:color w:val="222222"/>
          <w:sz w:val="19"/>
        </w:rPr>
        <w:t>Stablecoins, tokenized funds, tokenized RWAs, custody, settlement, DeFi, governance, launch-readiness standards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EDUCATION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20"/>
        </w:rPr>
        <w:t>High Point University</w:t>
      </w:r>
      <w:r>
        <w:rPr>
          <w:rFonts w:ascii="Calibri" w:hAnsi="Calibri"/>
          <w:color w:val="222222"/>
          <w:sz w:val="20"/>
        </w:rPr>
        <w:t xml:space="preserve">  |  B.S.B.A., Business Administration (Magna Cum Laude), 2018</w:t>
      </w:r>
    </w:p>
    <w:p>
      <w:pPr>
        <w:spacing w:before="0" w:after="0" w:line="247" w:lineRule="auto"/>
      </w:pPr>
      <w:r>
        <w:rPr>
          <w:rFonts w:ascii="Calibri" w:hAnsi="Calibri"/>
          <w:color w:val="222222"/>
          <w:sz w:val="19"/>
        </w:rPr>
        <w:t>Investment Club President  |  Lingnan University, Hong Kong (Exchange)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zachzukowski/" TargetMode="External"/><Relationship Id="rId10" Type="http://schemas.openxmlformats.org/officeDocument/2006/relationships/hyperlink" Target="https://medium.com/@CryptoZach" TargetMode="External"/><Relationship Id="rId11" Type="http://schemas.openxmlformats.org/officeDocument/2006/relationships/hyperlink" Target="https://papers.ssrn.com/sol3/cf_dev/AbsByAuth.cfm?per_id=7810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