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0"/>
        <w:jc w:val="center"/>
      </w:pPr>
      <w:r>
        <w:rPr>
          <w:rFonts w:ascii="Calibri" w:hAnsi="Calibri"/>
          <w:b/>
          <w:color w:val="1F497D"/>
          <w:sz w:val="38"/>
        </w:rPr>
        <w:t>Zach Zukowski</w:t>
      </w:r>
    </w:p>
    <w:p>
      <w:pPr>
        <w:spacing w:after="0" w:before="0"/>
        <w:jc w:val="center"/>
      </w:pPr>
      <w:r>
        <w:rPr>
          <w:rFonts w:ascii="Calibri" w:hAnsi="Calibri"/>
          <w:color w:val="5A5A5A"/>
          <w:sz w:val="19"/>
        </w:rPr>
        <w:t>Orlando, FL  |  zach@cryptozach.com  |  321-236-2261</w:t>
      </w:r>
    </w:p>
    <w:p>
      <w:pPr>
        <w:spacing w:after="40" w:before="0"/>
        <w:jc w:val="center"/>
      </w:pPr>
      <w:hyperlink r:id="rId9">
        <w:r>
          <w:rPr>
            <w:color w:val="0563C1"/>
            <w:rFonts w:ascii="Calibri" w:hAnsi="Calibri"/>
            <w:sz w:val="18"/>
            <w:szCs w:val="18"/>
            <w:u w:val="none"/>
          </w:rPr>
          <w:t>LinkedIn</w:t>
        </w:r>
      </w:hyperlink>
      <w:r>
        <w:rPr>
          <w:color w:val="5A5A5A"/>
          <w:sz w:val="18"/>
        </w:rPr>
        <w:t xml:space="preserve">  |  </w:t>
      </w:r>
      <w:hyperlink r:id="rId10">
        <w:r>
          <w:rPr>
            <w:color w:val="0563C1"/>
            <w:rFonts w:ascii="Calibri" w:hAnsi="Calibri"/>
            <w:sz w:val="18"/>
            <w:szCs w:val="18"/>
            <w:u w:val="none"/>
          </w:rPr>
          <w:t>Research Portfolio</w:t>
        </w:r>
      </w:hyperlink>
      <w:r>
        <w:rPr>
          <w:color w:val="5A5A5A"/>
          <w:sz w:val="18"/>
        </w:rPr>
        <w:t xml:space="preserve">  |  </w:t>
      </w:r>
      <w:hyperlink r:id="rId11">
        <w:r>
          <w:rPr>
            <w:color w:val="0563C1"/>
            <w:rFonts w:ascii="Calibri" w:hAnsi="Calibri"/>
            <w:sz w:val="18"/>
            <w:szCs w:val="18"/>
            <w:u w:val="none"/>
          </w:rPr>
          <w:t>SSRN</w:t>
        </w:r>
      </w:hyperlink>
    </w:p>
    <w:p>
      <w:pPr>
        <w:spacing w:before="0" w:after="140"/>
        <w:jc w:val="center"/>
        <w:pBdr>
          <w:bottom w:val="single" w:sz="8" w:space="2" w:color="A7B6C7"/>
        </w:pBdr>
      </w:pPr>
      <w:r>
        <w:rPr>
          <w:rFonts w:ascii="Calibri" w:hAnsi="Calibri"/>
          <w:b/>
          <w:color w:val="1F497D"/>
          <w:sz w:val="22"/>
        </w:rPr>
        <w:t>DIGITAL ASSETS &amp; TOKENIZATION STRATEGY</w:t>
      </w:r>
    </w:p>
    <w:p>
      <w:pPr>
        <w:keepNext/>
        <w:spacing w:before="180" w:after="80"/>
        <w:pBdr>
          <w:bottom w:val="single" w:sz="6" w:space="1" w:color="C8D5E2"/>
        </w:pBdr>
      </w:pPr>
      <w:r>
        <w:rPr>
          <w:rFonts w:ascii="Calibri" w:hAnsi="Calibri"/>
          <w:b/>
          <w:color w:val="1F497D"/>
          <w:sz w:val="19"/>
        </w:rPr>
        <w:t>SUMMARY</w:t>
      </w:r>
    </w:p>
    <w:p>
      <w:pPr>
        <w:spacing w:before="0" w:after="80" w:line="259" w:lineRule="auto"/>
      </w:pPr>
      <w:r>
        <w:rPr>
          <w:rFonts w:ascii="Calibri" w:hAnsi="Calibri"/>
          <w:color w:val="222222"/>
          <w:sz w:val="20"/>
        </w:rPr>
        <w:t>Digital-asset research and strategy professional with experience building institutional diligence, monitoring, and decision workflows across ~250 investments and ~$500M AUM. Deep expertise in tokenized products, stablecoins, liquidity, custody, settlement, and disclosure-driven monitoring. Known for translating market structure, regulatory change, and protocol design into investment, product, and control frameworks.</w:t>
      </w:r>
    </w:p>
    <w:p>
      <w:pPr>
        <w:spacing w:before="0" w:after="40" w:line="252" w:lineRule="auto"/>
      </w:pPr>
      <w:r>
        <w:rPr>
          <w:rFonts w:ascii="Calibri" w:hAnsi="Calibri"/>
          <w:b/>
          <w:color w:val="222222"/>
          <w:sz w:val="19"/>
        </w:rPr>
        <w:t xml:space="preserve">Core Areas: </w:t>
      </w:r>
      <w:r>
        <w:rPr>
          <w:rFonts w:ascii="Calibri" w:hAnsi="Calibri"/>
          <w:color w:val="222222"/>
          <w:sz w:val="19"/>
        </w:rPr>
        <w:t>Tokenized Products | Stablecoins | Liquidity &amp; Collateral | Custody &amp; Settlement | Market Structure | Risk &amp; Controls</w:t>
      </w:r>
    </w:p>
    <w:p>
      <w:pPr>
        <w:keepNext/>
        <w:spacing w:before="180" w:after="80"/>
        <w:pBdr>
          <w:bottom w:val="single" w:sz="6" w:space="1" w:color="C8D5E2"/>
        </w:pBdr>
      </w:pPr>
      <w:r>
        <w:rPr>
          <w:rFonts w:ascii="Calibri" w:hAnsi="Calibri"/>
          <w:b/>
          <w:color w:val="1F497D"/>
          <w:sz w:val="19"/>
        </w:rPr>
        <w:t>EXPERIENCE</w:t>
      </w:r>
    </w:p>
    <w:p>
      <w:pPr>
        <w:keepNext/>
        <w:tabs>
          <w:tab w:pos="9576" w:val="right"/>
        </w:tabs>
        <w:spacing w:before="40" w:after="20"/>
      </w:pPr>
      <w:r>
        <w:rPr>
          <w:rFonts w:ascii="Calibri" w:hAnsi="Calibri"/>
          <w:b/>
          <w:color w:val="222222"/>
          <w:sz w:val="20"/>
        </w:rPr>
        <w:t>Senior Investment Analyst, Digital Assets Research &amp; Strategy</w:t>
      </w:r>
      <w:r>
        <w:rPr>
          <w:rFonts w:ascii="Calibri" w:hAnsi="Calibri"/>
          <w:color w:val="222222"/>
          <w:sz w:val="20"/>
        </w:rPr>
        <w:t xml:space="preserve">  |  Borderless Capital (RIA)</w:t>
      </w:r>
      <w:r>
        <w:tab/>
      </w:r>
      <w:r>
        <w:rPr>
          <w:rFonts w:ascii="Calibri" w:hAnsi="Calibri"/>
          <w:i/>
          <w:color w:val="5A5A5A"/>
          <w:sz w:val="20"/>
        </w:rPr>
        <w:t>Dec 2019 - Present</w:t>
      </w:r>
    </w:p>
    <w:p>
      <w:pPr>
        <w:spacing w:before="10" w:after="44" w:line="254" w:lineRule="auto"/>
        <w:ind w:left="259" w:hanging="259"/>
      </w:pPr>
      <w:r>
        <w:rPr>
          <w:rFonts w:ascii="Calibri" w:hAnsi="Calibri"/>
          <w:color w:val="222222"/>
          <w:sz w:val="19"/>
        </w:rPr>
        <w:t>•  Built Borderless Capital's research operating system from scratch: coverage roadmap, editorial cadence, compliance workflows, decision logs, and trigger-based posture updates. Led a 4-analyst team producing ~25 long-form publications annually plus weekly market and portfolio updates.</w:t>
      </w:r>
    </w:p>
    <w:p>
      <w:pPr>
        <w:spacing w:before="10" w:after="44" w:line="254" w:lineRule="auto"/>
        <w:ind w:left="259" w:hanging="259"/>
      </w:pPr>
      <w:r>
        <w:rPr>
          <w:rFonts w:ascii="Calibri" w:hAnsi="Calibri"/>
          <w:color w:val="222222"/>
          <w:sz w:val="19"/>
        </w:rPr>
        <w:t>•  Sourced and evaluated 1,000+ opportunities; supported underwriting across ~250 investments (~$500M AUM, ~10 institutional funds); led investor reporting, portfolio strategy, and committee briefing materials with documented assumption tracking.</w:t>
      </w:r>
    </w:p>
    <w:p>
      <w:pPr>
        <w:spacing w:before="10" w:after="44" w:line="254" w:lineRule="auto"/>
        <w:ind w:left="259" w:hanging="259"/>
      </w:pPr>
      <w:r>
        <w:rPr>
          <w:rFonts w:ascii="Calibri" w:hAnsi="Calibri"/>
          <w:color w:val="222222"/>
          <w:sz w:val="19"/>
        </w:rPr>
        <w:t>•  Built an automated daily mNAV dashboard that sourced SEC filings and press releases directly, improving product-level granularity versus third-party trackers. Analyzed ~75 tokenization offerings in 2025 and invested in 18.</w:t>
      </w:r>
    </w:p>
    <w:p>
      <w:pPr>
        <w:spacing w:before="10" w:after="44" w:line="254" w:lineRule="auto"/>
        <w:ind w:left="259" w:hanging="259"/>
      </w:pPr>
      <w:r>
        <w:rPr>
          <w:rFonts w:ascii="Calibri" w:hAnsi="Calibri"/>
          <w:color w:val="222222"/>
          <w:sz w:val="19"/>
        </w:rPr>
        <w:t>•  Modeled daily portfolio liquidity across holdings and token/SAFT unlock schedules, and built AI-assisted diligence workflows that cut subscription-document review time from ~4 hours to ~1 hour per deal.</w:t>
      </w:r>
    </w:p>
    <w:p>
      <w:pPr>
        <w:spacing w:before="10" w:after="44" w:line="254" w:lineRule="auto"/>
        <w:ind w:left="259" w:hanging="259"/>
      </w:pPr>
      <w:r>
        <w:rPr>
          <w:rFonts w:ascii="Calibri" w:hAnsi="Calibri"/>
          <w:color w:val="222222"/>
          <w:sz w:val="19"/>
        </w:rPr>
        <w:t>•  Led diligence on stablecoins and tokenized products: reserve custody and composition, redemption mechanics, settlement finality, concentration and portability risk, and stress behavior. Developed CLII and MVEP to structure control, equivalence, and monitoring decisions.</w:t>
      </w:r>
    </w:p>
    <w:p>
      <w:pPr>
        <w:keepNext/>
        <w:tabs>
          <w:tab w:pos="9576" w:val="right"/>
        </w:tabs>
        <w:spacing w:before="40" w:after="20"/>
      </w:pPr>
      <w:r>
        <w:rPr>
          <w:rFonts w:ascii="Calibri" w:hAnsi="Calibri"/>
          <w:b/>
          <w:color w:val="222222"/>
          <w:sz w:val="20"/>
        </w:rPr>
        <w:t>Analyst Intern</w:t>
      </w:r>
      <w:r>
        <w:rPr>
          <w:rFonts w:ascii="Calibri" w:hAnsi="Calibri"/>
          <w:color w:val="222222"/>
          <w:sz w:val="20"/>
        </w:rPr>
        <w:t xml:space="preserve">  |  Greenway Solutions (USAA)</w:t>
      </w:r>
      <w:r>
        <w:tab/>
      </w:r>
      <w:r>
        <w:rPr>
          <w:rFonts w:ascii="Calibri" w:hAnsi="Calibri"/>
          <w:i/>
          <w:color w:val="5A5A5A"/>
          <w:sz w:val="20"/>
        </w:rPr>
        <w:t>May 2016 - Sep 2016</w:t>
      </w:r>
    </w:p>
    <w:p>
      <w:pPr>
        <w:spacing w:before="10" w:after="44" w:line="254" w:lineRule="auto"/>
        <w:ind w:left="259" w:hanging="259"/>
      </w:pPr>
      <w:r>
        <w:rPr>
          <w:rFonts w:ascii="Calibri" w:hAnsi="Calibri"/>
          <w:color w:val="222222"/>
          <w:sz w:val="19"/>
        </w:rPr>
        <w:t>•  Benchmarked USAA fraud controls across online, mobile, and call-center channels versus 9 peer U.S. banks; built PII-safe datasets and delivered recommendations on funds-availability, wire-transfer, onboarding, and identity-verification controls.</w:t>
      </w:r>
    </w:p>
    <w:p>
      <w:pPr>
        <w:keepNext/>
        <w:spacing w:before="180" w:after="80"/>
        <w:pBdr>
          <w:bottom w:val="single" w:sz="6" w:space="1" w:color="C8D5E2"/>
        </w:pBdr>
      </w:pPr>
      <w:r>
        <w:rPr>
          <w:rFonts w:ascii="Calibri" w:hAnsi="Calibri"/>
          <w:b/>
          <w:color w:val="1F497D"/>
          <w:sz w:val="19"/>
        </w:rPr>
        <w:t>SELECTED RESEARCH</w:t>
      </w:r>
    </w:p>
    <w:p>
      <w:pPr>
        <w:spacing w:before="10" w:after="40" w:line="252" w:lineRule="auto"/>
        <w:ind w:left="202" w:hanging="202"/>
      </w:pPr>
      <w:r>
        <w:rPr>
          <w:rFonts w:ascii="Calibri" w:hAnsi="Calibri"/>
          <w:b/>
          <w:color w:val="222222"/>
          <w:sz w:val="19"/>
        </w:rPr>
        <w:t xml:space="preserve">•  Routing the Dollar. </w:t>
      </w:r>
      <w:r>
        <w:rPr>
          <w:rFonts w:ascii="Calibri" w:hAnsi="Calibri"/>
          <w:color w:val="222222"/>
          <w:sz w:val="19"/>
        </w:rPr>
        <w:t>Research on stablecoin gateway concentration, reserve architecture, settlement flows, and dollar transmission, with implications for institutional tokenized-cash products.</w:t>
      </w:r>
    </w:p>
    <w:p>
      <w:pPr>
        <w:spacing w:before="10" w:after="40" w:line="252" w:lineRule="auto"/>
        <w:ind w:left="202" w:hanging="202"/>
      </w:pPr>
      <w:r>
        <w:rPr>
          <w:rFonts w:ascii="Calibri" w:hAnsi="Calibri"/>
          <w:b/>
          <w:color w:val="222222"/>
          <w:sz w:val="19"/>
        </w:rPr>
        <w:t xml:space="preserve">•  Minimum Viable Equivalence Packs. </w:t>
      </w:r>
      <w:r>
        <w:rPr>
          <w:rFonts w:ascii="Calibri" w:hAnsi="Calibri"/>
          <w:color w:val="222222"/>
          <w:sz w:val="19"/>
        </w:rPr>
        <w:t>SSRN paper outlining an institutional diligence framework for tokenized products across rights parity, custody segregation, finality, insolvency posture, governance controls, and monitoring.</w:t>
      </w:r>
    </w:p>
    <w:p>
      <w:pPr>
        <w:spacing w:before="10" w:after="40" w:line="252" w:lineRule="auto"/>
        <w:ind w:left="202" w:hanging="202"/>
      </w:pPr>
      <w:r>
        <w:rPr>
          <w:rFonts w:ascii="Calibri" w:hAnsi="Calibri"/>
          <w:b/>
          <w:color w:val="222222"/>
          <w:sz w:val="19"/>
        </w:rPr>
        <w:t xml:space="preserve">•  Dollar v3 / The Control Layer War. </w:t>
      </w:r>
      <w:r>
        <w:rPr>
          <w:rFonts w:ascii="Calibri" w:hAnsi="Calibri"/>
          <w:color w:val="222222"/>
          <w:sz w:val="19"/>
        </w:rPr>
        <w:t>Papers distinguishing payment stablecoins, tokenized deposits, and tokenized cash products, and mapping regulatory obligations and value capture to control-layer infrastructure.</w:t>
      </w:r>
    </w:p>
    <w:p>
      <w:pPr>
        <w:spacing w:before="10" w:after="40" w:line="252" w:lineRule="auto"/>
        <w:ind w:left="202" w:hanging="202"/>
      </w:pPr>
      <w:r>
        <w:rPr>
          <w:rFonts w:ascii="Calibri" w:hAnsi="Calibri"/>
          <w:b/>
          <w:color w:val="222222"/>
          <w:sz w:val="19"/>
        </w:rPr>
        <w:t xml:space="preserve">•  Tokenized Equity. </w:t>
      </w:r>
      <w:r>
        <w:rPr>
          <w:rFonts w:ascii="Calibri" w:hAnsi="Calibri"/>
          <w:color w:val="222222"/>
          <w:sz w:val="19"/>
        </w:rPr>
        <w:t>Framework for evaluating tokenized equity through rights parity, custody segregation, settlement dependencies, and market-structure constraints.</w:t>
      </w:r>
    </w:p>
    <w:p>
      <w:pPr>
        <w:keepNext/>
        <w:spacing w:before="180" w:after="80"/>
        <w:pBdr>
          <w:bottom w:val="single" w:sz="6" w:space="1" w:color="C8D5E2"/>
        </w:pBdr>
      </w:pPr>
      <w:r>
        <w:rPr>
          <w:rFonts w:ascii="Calibri" w:hAnsi="Calibri"/>
          <w:b/>
          <w:color w:val="1F497D"/>
          <w:sz w:val="19"/>
        </w:rPr>
        <w:t>TECHNICAL SKILLS</w:t>
      </w:r>
    </w:p>
    <w:p>
      <w:pPr>
        <w:spacing w:before="0" w:after="30" w:line="250" w:lineRule="auto"/>
      </w:pPr>
      <w:r>
        <w:rPr>
          <w:rFonts w:ascii="Calibri" w:hAnsi="Calibri"/>
          <w:b/>
          <w:color w:val="222222"/>
          <w:sz w:val="19"/>
        </w:rPr>
        <w:t xml:space="preserve">Languages: </w:t>
      </w:r>
      <w:r>
        <w:rPr>
          <w:rFonts w:ascii="Calibri" w:hAnsi="Calibri"/>
          <w:color w:val="222222"/>
          <w:sz w:val="19"/>
        </w:rPr>
        <w:t>Python (pandas, statsmodels, scipy, matplotlib), SQL (DuneSQL, Trino), JavaScript/TypeScript, Excel</w:t>
      </w:r>
    </w:p>
    <w:p>
      <w:pPr>
        <w:spacing w:before="0" w:after="30" w:line="250" w:lineRule="auto"/>
      </w:pPr>
      <w:r>
        <w:rPr>
          <w:rFonts w:ascii="Calibri" w:hAnsi="Calibri"/>
          <w:b/>
          <w:color w:val="222222"/>
          <w:sz w:val="19"/>
        </w:rPr>
        <w:t xml:space="preserve">Data &amp; Analytics: </w:t>
      </w:r>
      <w:r>
        <w:rPr>
          <w:rFonts w:ascii="Calibri" w:hAnsi="Calibri"/>
          <w:color w:val="222222"/>
          <w:sz w:val="19"/>
        </w:rPr>
        <w:t>Dune Analytics, Nansen Pro, Artemis, DefiLlama, FRED, CoinGecko, SEC filing and press-release monitoring</w:t>
      </w:r>
    </w:p>
    <w:p>
      <w:pPr>
        <w:spacing w:before="0" w:after="30" w:line="250" w:lineRule="auto"/>
      </w:pPr>
      <w:r>
        <w:rPr>
          <w:rFonts w:ascii="Calibri" w:hAnsi="Calibri"/>
          <w:b/>
          <w:color w:val="222222"/>
          <w:sz w:val="19"/>
        </w:rPr>
        <w:t xml:space="preserve">Methods: </w:t>
      </w:r>
      <w:r>
        <w:rPr>
          <w:rFonts w:ascii="Calibri" w:hAnsi="Calibri"/>
          <w:color w:val="222222"/>
          <w:sz w:val="19"/>
        </w:rPr>
        <w:t>Scenario analysis, time-series econometrics, Monte Carlo simulation, concentration analysis, liquidity modeling</w:t>
      </w:r>
    </w:p>
    <w:p>
      <w:pPr>
        <w:spacing w:before="0" w:after="30" w:line="250" w:lineRule="auto"/>
      </w:pPr>
      <w:r>
        <w:rPr>
          <w:rFonts w:ascii="Calibri" w:hAnsi="Calibri"/>
          <w:b/>
          <w:color w:val="222222"/>
          <w:sz w:val="19"/>
        </w:rPr>
        <w:t xml:space="preserve">Infrastructure: </w:t>
      </w:r>
      <w:r>
        <w:rPr>
          <w:rFonts w:ascii="Calibri" w:hAnsi="Calibri"/>
          <w:color w:val="222222"/>
          <w:sz w:val="19"/>
        </w:rPr>
        <w:t>Internal Python data and automation services, Claude Code, n8n, Apify, Git/GitHub</w:t>
      </w:r>
    </w:p>
    <w:p>
      <w:pPr>
        <w:keepNext/>
        <w:spacing w:before="180" w:after="80"/>
        <w:pBdr>
          <w:bottom w:val="single" w:sz="6" w:space="1" w:color="C8D5E2"/>
        </w:pBdr>
      </w:pPr>
      <w:r>
        <w:rPr>
          <w:rFonts w:ascii="Calibri" w:hAnsi="Calibri"/>
          <w:b/>
          <w:color w:val="1F497D"/>
          <w:sz w:val="19"/>
        </w:rPr>
        <w:t>EDUCATION</w:t>
      </w:r>
    </w:p>
    <w:p>
      <w:pPr>
        <w:spacing w:before="0" w:after="30" w:line="250" w:lineRule="auto"/>
      </w:pPr>
      <w:r>
        <w:rPr>
          <w:rFonts w:ascii="Calibri" w:hAnsi="Calibri"/>
          <w:b/>
          <w:color w:val="222222"/>
          <w:sz w:val="20"/>
        </w:rPr>
        <w:t>High Point University</w:t>
      </w:r>
      <w:r>
        <w:rPr>
          <w:rFonts w:ascii="Calibri" w:hAnsi="Calibri"/>
          <w:color w:val="222222"/>
          <w:sz w:val="20"/>
        </w:rPr>
        <w:t xml:space="preserve">  |  B.S.B.A., Business Administration (Magna Cum Laude), 2018</w:t>
      </w:r>
    </w:p>
    <w:p>
      <w:pPr>
        <w:spacing w:before="0" w:after="0" w:line="247" w:lineRule="auto"/>
      </w:pPr>
      <w:r>
        <w:rPr>
          <w:rFonts w:ascii="Calibri" w:hAnsi="Calibri"/>
          <w:color w:val="222222"/>
          <w:sz w:val="19"/>
        </w:rPr>
        <w:t>Investment Club President  |  Lingnan University, Hong Kong (Exchange)</w:t>
      </w:r>
    </w:p>
    <w:sectPr w:rsidR="00FC693F" w:rsidRPr="0006063C" w:rsidSect="00034616">
      <w:pgSz w:w="12240" w:h="15840"/>
      <w:pgMar w:top="792" w:right="893" w:bottom="792" w:left="8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/>
    </w:pPr>
    <w:rPr>
      <w:rFonts w:ascii="Calibri" w:hAnsi="Calibri"/>
      <w:color w:val="222222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linkedin.com/in/zachzukowski/" TargetMode="External"/><Relationship Id="rId10" Type="http://schemas.openxmlformats.org/officeDocument/2006/relationships/hyperlink" Target="https://medium.com/@CryptoZach" TargetMode="External"/><Relationship Id="rId11" Type="http://schemas.openxmlformats.org/officeDocument/2006/relationships/hyperlink" Target="https://papers.ssrn.com/sol3/cf_dev/AbsByAuth.cfm?per_id=78103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